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3EFB6A6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A5272D">
        <w:rPr>
          <w:sz w:val="26"/>
          <w:szCs w:val="26"/>
        </w:rPr>
        <w:t xml:space="preserve">October </w:t>
      </w:r>
      <w:r w:rsidR="000919B1">
        <w:rPr>
          <w:sz w:val="26"/>
          <w:szCs w:val="26"/>
        </w:rPr>
        <w:t>28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3F79302D" w:rsidR="00B92945" w:rsidRDefault="00B92945" w:rsidP="00B8393C"/>
        </w:tc>
        <w:tc>
          <w:tcPr>
            <w:tcW w:w="443" w:type="pct"/>
          </w:tcPr>
          <w:p w14:paraId="7FA8FED9" w14:textId="5B50A28F" w:rsidR="00B92945" w:rsidRDefault="00B92945" w:rsidP="00DA173D"/>
        </w:tc>
        <w:tc>
          <w:tcPr>
            <w:tcW w:w="2912" w:type="pct"/>
            <w:gridSpan w:val="4"/>
          </w:tcPr>
          <w:p w14:paraId="1145BF0D" w14:textId="6F2E3914" w:rsidR="00B92945" w:rsidRPr="00AB00A6" w:rsidRDefault="00B92945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3BBEFEB6" w14:textId="475A52FB" w:rsidR="00B92945" w:rsidRDefault="00B92945" w:rsidP="00DA173D"/>
        </w:tc>
        <w:tc>
          <w:tcPr>
            <w:tcW w:w="592" w:type="pct"/>
          </w:tcPr>
          <w:p w14:paraId="293E4D4E" w14:textId="2A8EE7AB" w:rsidR="00B92945" w:rsidRPr="003B705C" w:rsidRDefault="00B92945" w:rsidP="00DA173D"/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43BF7B90" w:rsidR="00EB5264" w:rsidRPr="00045025" w:rsidRDefault="00357532" w:rsidP="00CA2171">
            <w:pPr>
              <w:ind w:left="166"/>
            </w:pPr>
            <w:r>
              <w:t xml:space="preserve">Review DEI </w:t>
            </w:r>
            <w:r w:rsidR="000919B1" w:rsidRPr="000919B1">
              <w:t>Norms</w:t>
            </w:r>
          </w:p>
        </w:tc>
      </w:tr>
      <w:tr w:rsidR="00A5272D" w14:paraId="37FA2B97" w14:textId="77777777" w:rsidTr="000919B1">
        <w:trPr>
          <w:trHeight w:val="343"/>
        </w:trPr>
        <w:tc>
          <w:tcPr>
            <w:tcW w:w="1151" w:type="pct"/>
            <w:gridSpan w:val="3"/>
          </w:tcPr>
          <w:p w14:paraId="03AFA6C6" w14:textId="5D5F38D6" w:rsidR="00A5272D" w:rsidRDefault="00357532" w:rsidP="009111AA">
            <w:pPr>
              <w:ind w:left="161"/>
              <w:rPr>
                <w:b/>
              </w:rPr>
            </w:pPr>
            <w:r>
              <w:rPr>
                <w:b/>
              </w:rPr>
              <w:t>DEI Framework</w:t>
            </w:r>
          </w:p>
        </w:tc>
        <w:tc>
          <w:tcPr>
            <w:tcW w:w="659" w:type="pct"/>
          </w:tcPr>
          <w:p w14:paraId="049DAC49" w14:textId="442CB8D8" w:rsidR="00A5272D" w:rsidRPr="00D15984" w:rsidRDefault="000919B1" w:rsidP="009111AA">
            <w:pPr>
              <w:ind w:left="163"/>
            </w:pPr>
            <w:r>
              <w:t>Tory/Jen M.</w:t>
            </w:r>
          </w:p>
        </w:tc>
        <w:tc>
          <w:tcPr>
            <w:tcW w:w="361" w:type="pct"/>
          </w:tcPr>
          <w:p w14:paraId="2FE72265" w14:textId="01D64EE1" w:rsidR="00A5272D" w:rsidRDefault="000919B1" w:rsidP="009111AA">
            <w:r>
              <w:t>2</w:t>
            </w:r>
            <w:r w:rsidR="00984F85">
              <w:t>0</w:t>
            </w:r>
            <w:r w:rsidR="00A5272D">
              <w:t xml:space="preserve"> min</w:t>
            </w:r>
          </w:p>
        </w:tc>
        <w:tc>
          <w:tcPr>
            <w:tcW w:w="2829" w:type="pct"/>
            <w:gridSpan w:val="3"/>
          </w:tcPr>
          <w:p w14:paraId="511F472B" w14:textId="711CF837" w:rsidR="00657763" w:rsidRDefault="00357532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 xml:space="preserve">Review </w:t>
            </w:r>
            <w:r w:rsidR="00657763">
              <w:rPr>
                <w:color w:val="212121"/>
              </w:rPr>
              <w:t>DEI Framework</w:t>
            </w:r>
          </w:p>
        </w:tc>
      </w:tr>
      <w:tr w:rsidR="000919B1" w14:paraId="764344BD" w14:textId="77777777" w:rsidTr="000919B1">
        <w:trPr>
          <w:trHeight w:val="352"/>
        </w:trPr>
        <w:tc>
          <w:tcPr>
            <w:tcW w:w="1151" w:type="pct"/>
            <w:gridSpan w:val="3"/>
          </w:tcPr>
          <w:p w14:paraId="1EB0CAD3" w14:textId="3C254E12" w:rsidR="000919B1" w:rsidRDefault="000919B1" w:rsidP="000919B1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659" w:type="pct"/>
          </w:tcPr>
          <w:p w14:paraId="7F61B2ED" w14:textId="7E30ED9D" w:rsidR="000919B1" w:rsidRDefault="000919B1" w:rsidP="000919B1">
            <w:pPr>
              <w:ind w:left="163"/>
              <w:jc w:val="both"/>
            </w:pPr>
            <w:r>
              <w:t>Chris</w:t>
            </w:r>
          </w:p>
        </w:tc>
        <w:tc>
          <w:tcPr>
            <w:tcW w:w="361" w:type="pct"/>
          </w:tcPr>
          <w:p w14:paraId="621A29BA" w14:textId="3618A183" w:rsidR="000919B1" w:rsidRDefault="000919B1" w:rsidP="000919B1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20BFB9AF" w14:textId="69F8F3A2" w:rsidR="000919B1" w:rsidRDefault="000919B1" w:rsidP="000919B1">
            <w:pPr>
              <w:ind w:left="166"/>
            </w:pPr>
            <w:r>
              <w:t>ISP 480 Academic Standing – 3</w:t>
            </w:r>
            <w:r w:rsidRPr="00FB2EED">
              <w:rPr>
                <w:vertAlign w:val="superscript"/>
              </w:rPr>
              <w:t>rd</w:t>
            </w:r>
            <w:r>
              <w:t xml:space="preserve"> Read</w:t>
            </w:r>
          </w:p>
        </w:tc>
      </w:tr>
      <w:tr w:rsidR="000919B1" w14:paraId="7D104C75" w14:textId="77777777" w:rsidTr="00657763">
        <w:trPr>
          <w:trHeight w:val="1234"/>
        </w:trPr>
        <w:tc>
          <w:tcPr>
            <w:tcW w:w="1151" w:type="pct"/>
            <w:gridSpan w:val="3"/>
          </w:tcPr>
          <w:p w14:paraId="41C07EE6" w14:textId="54E08CA0" w:rsidR="000919B1" w:rsidRPr="00BD6647" w:rsidRDefault="000919B1" w:rsidP="000919B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457FC7F1" w14:textId="77777777" w:rsidR="000919B1" w:rsidRDefault="000919B1" w:rsidP="000919B1">
            <w:pPr>
              <w:ind w:left="163"/>
              <w:jc w:val="both"/>
            </w:pPr>
            <w:r>
              <w:t>Sarah</w:t>
            </w:r>
          </w:p>
          <w:p w14:paraId="52263F04" w14:textId="77777777" w:rsidR="000919B1" w:rsidRDefault="000919B1" w:rsidP="000919B1">
            <w:pPr>
              <w:ind w:left="163"/>
              <w:jc w:val="both"/>
            </w:pPr>
            <w:r>
              <w:t>Chris</w:t>
            </w:r>
          </w:p>
          <w:p w14:paraId="204C6DD2" w14:textId="77777777" w:rsidR="000919B1" w:rsidRPr="00FB2EED" w:rsidRDefault="000919B1" w:rsidP="000919B1">
            <w:pPr>
              <w:ind w:left="163"/>
              <w:jc w:val="both"/>
              <w:rPr>
                <w:sz w:val="10"/>
                <w:szCs w:val="10"/>
              </w:rPr>
            </w:pPr>
          </w:p>
          <w:p w14:paraId="10D11CF1" w14:textId="2F1DE450" w:rsidR="000919B1" w:rsidRPr="00281C75" w:rsidRDefault="000919B1" w:rsidP="000919B1">
            <w:pPr>
              <w:ind w:left="163"/>
              <w:jc w:val="both"/>
            </w:pPr>
            <w:r>
              <w:t>Chris</w:t>
            </w:r>
          </w:p>
        </w:tc>
        <w:tc>
          <w:tcPr>
            <w:tcW w:w="361" w:type="pct"/>
          </w:tcPr>
          <w:p w14:paraId="28CC8E6E" w14:textId="77777777" w:rsidR="000919B1" w:rsidRDefault="000919B1" w:rsidP="000919B1">
            <w:pPr>
              <w:jc w:val="both"/>
            </w:pPr>
          </w:p>
          <w:p w14:paraId="4A80E2BC" w14:textId="77777777" w:rsidR="000919B1" w:rsidRDefault="000919B1" w:rsidP="000919B1">
            <w:pPr>
              <w:jc w:val="both"/>
            </w:pPr>
          </w:p>
          <w:p w14:paraId="415005CB" w14:textId="4D8718CB" w:rsidR="000919B1" w:rsidRPr="00260D85" w:rsidRDefault="000919B1" w:rsidP="000919B1">
            <w:pPr>
              <w:jc w:val="both"/>
            </w:pPr>
            <w:r>
              <w:t>30 min</w:t>
            </w:r>
          </w:p>
        </w:tc>
        <w:tc>
          <w:tcPr>
            <w:tcW w:w="2829" w:type="pct"/>
            <w:gridSpan w:val="3"/>
          </w:tcPr>
          <w:p w14:paraId="52CEFD0F" w14:textId="77777777" w:rsidR="000919B1" w:rsidRDefault="000919B1" w:rsidP="000919B1">
            <w:pPr>
              <w:ind w:left="166"/>
            </w:pPr>
            <w:r>
              <w:t>ISP 470/</w:t>
            </w:r>
            <w:proofErr w:type="spellStart"/>
            <w:r>
              <w:t>470P</w:t>
            </w:r>
            <w:proofErr w:type="spellEnd"/>
            <w:r>
              <w:t xml:space="preserve"> Course Substitution or Waiver</w:t>
            </w:r>
          </w:p>
          <w:p w14:paraId="69CF1611" w14:textId="77777777" w:rsidR="000919B1" w:rsidRDefault="000919B1" w:rsidP="000919B1">
            <w:pPr>
              <w:ind w:left="166"/>
            </w:pPr>
            <w:r>
              <w:t>ISP 460 Underage Enrollment – Students Under 18</w:t>
            </w:r>
          </w:p>
          <w:p w14:paraId="488E806A" w14:textId="77777777" w:rsidR="000919B1" w:rsidRPr="00FB2EED" w:rsidRDefault="000919B1" w:rsidP="000919B1">
            <w:pPr>
              <w:ind w:left="166"/>
              <w:rPr>
                <w:sz w:val="10"/>
                <w:szCs w:val="10"/>
              </w:rPr>
            </w:pPr>
          </w:p>
          <w:p w14:paraId="1DE12E1D" w14:textId="77777777" w:rsidR="000919B1" w:rsidRPr="00657763" w:rsidRDefault="000919B1" w:rsidP="000919B1">
            <w:pPr>
              <w:ind w:left="166"/>
            </w:pPr>
            <w:r w:rsidRPr="00657763">
              <w:t xml:space="preserve">Fast Track 3 ISPs – 7 Year Accreditation: </w:t>
            </w:r>
          </w:p>
          <w:p w14:paraId="62B2CC93" w14:textId="77777777" w:rsidR="000919B1" w:rsidRPr="00657763" w:rsidRDefault="000919B1" w:rsidP="000919B1">
            <w:pPr>
              <w:ind w:left="166"/>
            </w:pPr>
            <w:r w:rsidRPr="00657763">
              <w:t xml:space="preserve">    </w:t>
            </w:r>
            <w:r w:rsidRPr="00657763">
              <w:rPr>
                <w:rFonts w:cstheme="minorHAnsi"/>
              </w:rPr>
              <w:t>•</w:t>
            </w:r>
            <w:r w:rsidRPr="00657763">
              <w:t>ISP 290 Education Progress</w:t>
            </w:r>
          </w:p>
          <w:p w14:paraId="7CD7C793" w14:textId="005F0C88" w:rsidR="000919B1" w:rsidRPr="00FE0D75" w:rsidRDefault="000919B1" w:rsidP="000919B1">
            <w:pPr>
              <w:ind w:left="166"/>
            </w:pPr>
            <w:r w:rsidRPr="00657763">
              <w:t xml:space="preserve">    </w:t>
            </w:r>
            <w:r w:rsidRPr="00657763">
              <w:rPr>
                <w:rFonts w:cstheme="minorHAnsi"/>
              </w:rPr>
              <w:t>•</w:t>
            </w:r>
            <w:r w:rsidRPr="00657763">
              <w:t>ISP 360 Credit for Prior Learning</w:t>
            </w: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870"/>
        <w:gridCol w:w="2700"/>
        <w:gridCol w:w="2451"/>
        <w:gridCol w:w="3489"/>
        <w:gridCol w:w="1170"/>
      </w:tblGrid>
      <w:tr w:rsidR="00410FCD" w:rsidRPr="00A10502" w14:paraId="55211C8B" w14:textId="77777777" w:rsidTr="0090700A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3F1344">
        <w:trPr>
          <w:trHeight w:val="332"/>
        </w:trPr>
        <w:tc>
          <w:tcPr>
            <w:tcW w:w="387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4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17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3F1344">
        <w:trPr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D4AF5B6" w14:textId="2410403C" w:rsidR="00D722F4" w:rsidRDefault="0063767F" w:rsidP="00D36B80">
            <w:pPr>
              <w:jc w:val="center"/>
            </w:pPr>
            <w:r>
              <w:t>Dru/</w:t>
            </w:r>
            <w:r w:rsidR="002E6182">
              <w:t>Tory/Sue/Sharron/</w:t>
            </w:r>
          </w:p>
          <w:p w14:paraId="1D8774B5" w14:textId="6E167540" w:rsidR="002E6182" w:rsidRPr="009A0E5A" w:rsidRDefault="002E6182" w:rsidP="00D36B80">
            <w:pPr>
              <w:jc w:val="center"/>
            </w:pPr>
            <w:r>
              <w:t>Russ/Leslie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0951293" w14:textId="74527E0C" w:rsidR="00D722F4" w:rsidRPr="00FE2F79" w:rsidRDefault="008A1707" w:rsidP="0004717A">
            <w:r>
              <w:t xml:space="preserve">The subcommittee currently is reviewing ISP 150 Online Courses.  A new ISP policy may need to be created.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F694E7" w14:textId="02BD3BCE" w:rsidR="00D722F4" w:rsidRDefault="002E6182" w:rsidP="00D36B80">
            <w:r>
              <w:t>Fall Term</w:t>
            </w:r>
          </w:p>
        </w:tc>
      </w:tr>
      <w:tr w:rsidR="00FE2F79" w14:paraId="69DE32D9" w14:textId="77777777" w:rsidTr="003F1344">
        <w:trPr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105316C" w14:textId="39F61176" w:rsidR="00FE2F79" w:rsidRPr="00B91338" w:rsidRDefault="00B91338" w:rsidP="00FE2F79">
            <w:r>
              <w:t>The continued c</w:t>
            </w:r>
            <w:r w:rsidR="00830A67" w:rsidRPr="00B91338">
              <w:t xml:space="preserve">onversation </w:t>
            </w:r>
            <w:r>
              <w:t xml:space="preserve">with the Curriculum Committee around ISP 161 </w:t>
            </w:r>
            <w:r w:rsidRPr="00B91338">
              <w:t xml:space="preserve">initiated a review for ISP 181.  </w:t>
            </w:r>
            <w:r>
              <w:t xml:space="preserve">In addition, the </w:t>
            </w:r>
            <w:r w:rsidRPr="00B91338">
              <w:t xml:space="preserve">Curriculum Committee </w:t>
            </w:r>
            <w:r w:rsidR="00632505">
              <w:t xml:space="preserve">brought up the question or </w:t>
            </w:r>
            <w:r w:rsidRPr="00B91338">
              <w:t>recreating a</w:t>
            </w:r>
            <w:r w:rsidR="00EA7D07">
              <w:t>n</w:t>
            </w:r>
            <w:r w:rsidRPr="00B91338">
              <w:t xml:space="preserve"> ISP for general education</w:t>
            </w:r>
            <w:r w:rsidR="00632505">
              <w:t xml:space="preserve">, which is yet </w:t>
            </w:r>
            <w:r w:rsidRPr="00B91338">
              <w:t xml:space="preserve">to be determined.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F45F53E" w14:textId="5BD05BAF" w:rsidR="00FE2F79" w:rsidRPr="00B91338" w:rsidRDefault="00B91338" w:rsidP="00FE2F79">
            <w:r w:rsidRPr="00B91338">
              <w:t>Fall Term</w:t>
            </w:r>
          </w:p>
        </w:tc>
      </w:tr>
      <w:tr w:rsidR="00FE2F79" w14:paraId="7AC6D0C2" w14:textId="77777777" w:rsidTr="003F1344">
        <w:trPr>
          <w:trHeight w:val="640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08319B2" w14:textId="77777777" w:rsidR="004A5947" w:rsidRDefault="004A5947" w:rsidP="00FE2F79">
            <w:pPr>
              <w:jc w:val="center"/>
            </w:pPr>
            <w:r>
              <w:t>Taylor</w:t>
            </w:r>
            <w:r w:rsidR="00FE2F79">
              <w:t>/Jen/Shar</w:t>
            </w:r>
            <w:r>
              <w:t>r</w:t>
            </w:r>
            <w:r w:rsidR="00FE2F79">
              <w:t>on/</w:t>
            </w:r>
            <w:r>
              <w:t>Patty/</w:t>
            </w:r>
          </w:p>
          <w:p w14:paraId="191B420E" w14:textId="68F7A50E" w:rsidR="00FE2F79" w:rsidRPr="009A0E5A" w:rsidRDefault="004A5947" w:rsidP="00FE2F79">
            <w:pPr>
              <w:jc w:val="center"/>
            </w:pPr>
            <w:r>
              <w:t>Jennifer/Leslie/DW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45C1BF25" w14:textId="254E31D3" w:rsidR="00FE2F79" w:rsidRPr="00D26A4F" w:rsidRDefault="00FE2F79" w:rsidP="00FE2F79">
            <w:r>
              <w:t xml:space="preserve">The subcommittee will pull out the procedure language from the policy to create a procedure.  </w:t>
            </w:r>
            <w:r w:rsidR="004A5947" w:rsidRPr="004A5947">
              <w:t xml:space="preserve">Update: </w:t>
            </w:r>
            <w:r w:rsidR="004A5947">
              <w:t xml:space="preserve">Taylor </w:t>
            </w:r>
            <w:r w:rsidR="004A5947" w:rsidRPr="004A5947">
              <w:t>will now lead this subcommittee</w:t>
            </w:r>
            <w:r w:rsidR="004A5947">
              <w:t xml:space="preserve"> with a few new members noted</w:t>
            </w:r>
            <w:r w:rsidR="004A5947" w:rsidRPr="004A5947">
              <w:t xml:space="preserve">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4CEC0CA" w14:textId="1BCB6516" w:rsidR="00FE2F79" w:rsidRDefault="00BD2BDA" w:rsidP="00FE2F79">
            <w:r>
              <w:t>TBD</w:t>
            </w:r>
          </w:p>
        </w:tc>
      </w:tr>
      <w:tr w:rsidR="00FE2F79" w14:paraId="6D1BDCE8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lastRenderedPageBreak/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59A85305" w:rsidR="00FE2F79" w:rsidRPr="009A0E5A" w:rsidRDefault="00FE2F79" w:rsidP="00FE2F79">
            <w:pPr>
              <w:jc w:val="center"/>
            </w:pPr>
            <w:r>
              <w:t>Tory/Sue/Beth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745CE0" w14:textId="40423117" w:rsidR="00FE2F79" w:rsidRPr="00632505" w:rsidRDefault="00FE2F79" w:rsidP="00FE2F79">
            <w:r w:rsidRPr="00632505">
              <w:t xml:space="preserve">Fall Term </w:t>
            </w:r>
          </w:p>
        </w:tc>
      </w:tr>
      <w:tr w:rsidR="00730846" w14:paraId="4FCCA6E3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E791D97" w14:textId="64C5940F" w:rsidR="00730846" w:rsidRPr="00524E7E" w:rsidRDefault="00730846" w:rsidP="00FE2F7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770E379" w14:textId="273203EA" w:rsidR="00730846" w:rsidRDefault="00730846" w:rsidP="00FE2F79">
            <w:pPr>
              <w:jc w:val="center"/>
            </w:pPr>
            <w:r>
              <w:t>Melinda/Jennifer/Tracy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40D38CF2" w14:textId="0BBEE86C" w:rsidR="00730846" w:rsidRDefault="00730846" w:rsidP="00FE2F79">
            <w:r>
              <w:t xml:space="preserve">The subcommittee will check in with Jason Kovac </w:t>
            </w:r>
            <w:r w:rsidRPr="00730846">
              <w:t xml:space="preserve">to </w:t>
            </w:r>
            <w:r>
              <w:t xml:space="preserve">understand </w:t>
            </w:r>
            <w:r w:rsidRPr="00730846">
              <w:t xml:space="preserve">the specific concerns during our last accreditation visit.  </w:t>
            </w:r>
            <w:r w:rsidR="00EA65E2">
              <w:t>Review and update the policy</w:t>
            </w:r>
            <w:r w:rsidRPr="00730846">
              <w:t xml:space="preserve">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ED300A6" w14:textId="5BDA9EA9" w:rsidR="00730846" w:rsidRDefault="00730846" w:rsidP="00FE2F79">
            <w:r>
              <w:t>TBD</w:t>
            </w:r>
          </w:p>
        </w:tc>
      </w:tr>
      <w:tr w:rsidR="00730846" w14:paraId="771EE0E5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4637809" w14:textId="48D292D3" w:rsidR="00730846" w:rsidRPr="00524E7E" w:rsidRDefault="00730846" w:rsidP="00FE2F79">
            <w:pPr>
              <w:rPr>
                <w:noProof/>
              </w:rPr>
            </w:pPr>
            <w:bookmarkStart w:id="1" w:name="_Hlk120112350"/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700C45E" w14:textId="36E404B6" w:rsidR="00730846" w:rsidRDefault="00730846" w:rsidP="00FE2F79">
            <w:pPr>
              <w:jc w:val="center"/>
            </w:pPr>
            <w:r>
              <w:t>Chris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137A0E7C" w14:textId="660C0F21" w:rsidR="00730846" w:rsidRDefault="00ED63F3" w:rsidP="00ED63F3">
            <w:r>
              <w:t xml:space="preserve">Chris </w:t>
            </w:r>
            <w:r w:rsidR="00EA65E2" w:rsidRPr="00EA65E2">
              <w:t>will check in with Jason Kovac</w:t>
            </w:r>
            <w:r>
              <w:t xml:space="preserve"> prior to reviewing the policy.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8A77B3" w14:textId="4C09DF93" w:rsidR="00730846" w:rsidRDefault="00ED63F3" w:rsidP="00FE2F79">
            <w:r>
              <w:t>TBD</w:t>
            </w:r>
          </w:p>
        </w:tc>
      </w:tr>
      <w:tr w:rsidR="00FE2F79" w14:paraId="099D8EF7" w14:textId="77777777" w:rsidTr="005538CD">
        <w:trPr>
          <w:cantSplit/>
          <w:trHeight w:val="70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D835205" w14:textId="64871E1E" w:rsidR="00FE2F79" w:rsidRPr="00254B41" w:rsidRDefault="00FE2F79" w:rsidP="00FE2F79">
            <w:pPr>
              <w:rPr>
                <w:noProof/>
              </w:rPr>
            </w:pPr>
            <w:bookmarkStart w:id="2" w:name="_Hlk116380046"/>
            <w:bookmarkEnd w:id="1"/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FE2F79" w:rsidRPr="00254B41" w:rsidRDefault="00FE2F79" w:rsidP="00FE2F79">
            <w:pPr>
              <w:jc w:val="center"/>
            </w:pPr>
            <w:r>
              <w:t>Chris and Jennifer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2645FE2B" w14:textId="59358048" w:rsidR="00FE2F79" w:rsidRDefault="00FE2F79" w:rsidP="00FE2F79">
            <w:r>
              <w:t xml:space="preserve">Review policy and procedure.  College needs technological way to enforce this policy.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63490A2" w14:textId="1D2E2251" w:rsidR="00FE2F79" w:rsidRPr="00632505" w:rsidRDefault="00BD2BDA" w:rsidP="00FE2F79">
            <w:r>
              <w:t>TBD</w:t>
            </w:r>
          </w:p>
        </w:tc>
      </w:tr>
      <w:tr w:rsidR="00FE2F79" w14:paraId="3C057E96" w14:textId="77777777" w:rsidTr="003F1344">
        <w:trPr>
          <w:cantSplit/>
          <w:trHeight w:val="61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B419654" w14:textId="10FDDE5B" w:rsidR="00FE2F79" w:rsidRPr="00254B41" w:rsidRDefault="00FE2F79" w:rsidP="00FE2F79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FE2F79" w:rsidRDefault="00FE2F79" w:rsidP="00FE2F79">
            <w:pPr>
              <w:jc w:val="center"/>
            </w:pPr>
            <w:r>
              <w:t>Chris/Patty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049CBD19" w14:textId="63CCD3C7" w:rsidR="00FE2F79" w:rsidRDefault="00FE2F79" w:rsidP="00FE2F79">
            <w:r>
              <w:t xml:space="preserve">Review and update the </w:t>
            </w:r>
            <w:r w:rsidRPr="001B1FF5">
              <w:t>policy.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C0F24DA" w14:textId="616BC7A2" w:rsidR="00FE2F79" w:rsidRPr="00632505" w:rsidRDefault="00BD2BDA" w:rsidP="00FE2F79">
            <w:r>
              <w:t>TBD</w:t>
            </w:r>
          </w:p>
        </w:tc>
      </w:tr>
      <w:bookmarkEnd w:id="2"/>
      <w:tr w:rsidR="00FE2F79" w14:paraId="786F2FE5" w14:textId="77777777" w:rsidTr="003F1344">
        <w:trPr>
          <w:cantSplit/>
          <w:trHeight w:val="61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657AD4B" w14:textId="0884A0C8" w:rsidR="00FE2F79" w:rsidRPr="00632505" w:rsidRDefault="00FE2F79" w:rsidP="00FE2F79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 w:rsidR="00BD2BDA"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FE2F79" w:rsidRPr="00632505" w:rsidRDefault="00FE2F79" w:rsidP="00FE2F79">
            <w:pPr>
              <w:jc w:val="center"/>
            </w:pPr>
            <w:r w:rsidRPr="00632505">
              <w:t>Sarah/Tracy/Sue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48D11277" w14:textId="6B83F290" w:rsidR="00FE2F79" w:rsidRPr="00632505" w:rsidRDefault="008A1707" w:rsidP="00FE2F79">
            <w:r>
              <w:t xml:space="preserve">Waiting to hear back from the subcommittee if they are ready to present their review for ISP 470 and a new procedure.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7BE3E78" w14:textId="03741862" w:rsidR="00FE2F79" w:rsidRPr="00632505" w:rsidRDefault="00BD2BDA" w:rsidP="00FE2F79">
            <w:r>
              <w:t>TBD</w:t>
            </w:r>
          </w:p>
        </w:tc>
      </w:tr>
      <w:tr w:rsidR="00FE2F79" w14:paraId="0FBB6053" w14:textId="77777777" w:rsidTr="003F1344">
        <w:trPr>
          <w:cantSplit/>
          <w:trHeight w:val="631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AA86D62" w14:textId="4DAA6AA0" w:rsidR="00FE2F79" w:rsidRDefault="00FE2F79" w:rsidP="00FE2F79">
            <w:pPr>
              <w:rPr>
                <w:noProof/>
              </w:rPr>
            </w:pPr>
            <w:bookmarkStart w:id="3" w:name="_Hlk116380189"/>
            <w:r w:rsidRPr="00254B41">
              <w:rPr>
                <w:noProof/>
              </w:rPr>
              <w:t>ISP 480 Academic Standing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790512" w14:textId="6B1D29A5" w:rsidR="00FE2F79" w:rsidRDefault="00FE2F79" w:rsidP="00FE2F79">
            <w:pPr>
              <w:jc w:val="center"/>
            </w:pPr>
            <w:r>
              <w:t>Chris/Dustin Bare/ Tra</w:t>
            </w:r>
            <w:r w:rsidR="001D5D61">
              <w:t>c</w:t>
            </w:r>
            <w:r>
              <w:t>y/Jackie/Josiah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1FC44D6C" w14:textId="34C2D3D4" w:rsidR="00FE2F79" w:rsidRDefault="008A1707" w:rsidP="00FE2F79">
            <w:r>
              <w:t>Sue will share the feedback from the third read from</w:t>
            </w:r>
            <w:bookmarkStart w:id="4" w:name="_GoBack"/>
            <w:bookmarkEnd w:id="4"/>
            <w:r w:rsidR="00D10395" w:rsidRPr="00D10395">
              <w:t xml:space="preserve"> College Council.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8DADF75" w14:textId="21507E33" w:rsidR="00FE2F79" w:rsidRPr="00921B2B" w:rsidRDefault="00D10395" w:rsidP="00FE2F79">
            <w:r>
              <w:t>Oct. 28</w:t>
            </w:r>
          </w:p>
        </w:tc>
      </w:tr>
      <w:tr w:rsidR="00FE2F79" w14:paraId="2AD0C02A" w14:textId="77777777" w:rsidTr="003F1344">
        <w:trPr>
          <w:cantSplit/>
          <w:trHeight w:val="43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9A9460F" w14:textId="4BFB6613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FE2F79" w:rsidRDefault="00FE2F79" w:rsidP="00FE2F7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11E38F1B" w14:textId="624CA38A" w:rsidR="00FE2F79" w:rsidRDefault="00F3723C" w:rsidP="00FE2F79">
            <w:r>
              <w:t>The committee will c</w:t>
            </w:r>
            <w:r w:rsidR="00FE2F79">
              <w:t>reate a new ISP</w:t>
            </w:r>
            <w:r>
              <w:t>.</w:t>
            </w:r>
            <w:r w:rsidR="00FE2F79">
              <w:t xml:space="preserve">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1F5B940" w14:textId="7B3A09CA" w:rsidR="00FE2F79" w:rsidRPr="002E6BA1" w:rsidRDefault="00BD2BDA" w:rsidP="00FE2F7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3"/>
      <w:tr w:rsidR="00FE2F79" w:rsidRPr="00A10502" w14:paraId="03D7C3F0" w14:textId="77777777" w:rsidTr="003F1344">
        <w:trPr>
          <w:trHeight w:val="404"/>
        </w:trPr>
        <w:tc>
          <w:tcPr>
            <w:tcW w:w="3870" w:type="dxa"/>
            <w:shd w:val="clear" w:color="auto" w:fill="C41F32"/>
          </w:tcPr>
          <w:p w14:paraId="07FD8706" w14:textId="749C77C2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451" w:type="dxa"/>
            <w:shd w:val="clear" w:color="auto" w:fill="C41F32"/>
          </w:tcPr>
          <w:p w14:paraId="215B1DA0" w14:textId="77777777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E2F79" w:rsidRPr="00A10502" w:rsidRDefault="00FE2F79" w:rsidP="00FE2F79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E2F79" w:rsidRPr="00BD5CAB" w14:paraId="224AAC33" w14:textId="77777777" w:rsidTr="003F1344">
        <w:trPr>
          <w:trHeight w:val="334"/>
        </w:trPr>
        <w:tc>
          <w:tcPr>
            <w:tcW w:w="3870" w:type="dxa"/>
            <w:vAlign w:val="center"/>
          </w:tcPr>
          <w:p w14:paraId="29ADCAF6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December 9</w:t>
            </w:r>
          </w:p>
          <w:p w14:paraId="028966B1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January 13 &amp; 27</w:t>
            </w:r>
          </w:p>
          <w:p w14:paraId="6E7AD103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2A9E0267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C5A698F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657763" w:rsidRPr="00417307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FE2F79" w:rsidRPr="001C14ED" w:rsidRDefault="00FE2F79" w:rsidP="00FE2F79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451" w:type="dxa"/>
            <w:vAlign w:val="center"/>
          </w:tcPr>
          <w:p w14:paraId="2ACDA1A8" w14:textId="7D5035DD" w:rsidR="00FE2F79" w:rsidRPr="001C14ED" w:rsidRDefault="00FE2F79" w:rsidP="00FE2F79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FE2F79" w:rsidRPr="001C14ED" w:rsidRDefault="00FE2F79" w:rsidP="00FE2F79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31B46B4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Cathy Warner, 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373B2C62" w14:textId="25C8D206" w:rsidR="008453B1" w:rsidRDefault="008453B1">
      <w:pPr>
        <w:rPr>
          <w:i/>
          <w:u w:val="single"/>
        </w:rPr>
      </w:pPr>
    </w:p>
    <w:p w14:paraId="5D36CAAA" w14:textId="5A883A8D" w:rsidR="004538BD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7BC99FF" w14:textId="77777777" w:rsidR="00DE6333" w:rsidRDefault="00DE6333" w:rsidP="00DE6333">
      <w:pPr>
        <w:ind w:left="360"/>
      </w:pPr>
      <w:r>
        <w:t>Aug. 3, 2016</w:t>
      </w:r>
      <w:r>
        <w:tab/>
        <w:t>ISP 480 Academic Standing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F5B9990" w14:textId="77777777" w:rsidR="00DE6333" w:rsidRDefault="00DE6333" w:rsidP="00DE6333">
      <w:pPr>
        <w:ind w:left="360"/>
      </w:pPr>
      <w:r>
        <w:t>Oc.t 14, 2016</w:t>
      </w:r>
      <w:r>
        <w:tab/>
        <w:t>ISP 470 Course Substitution or Waiver</w:t>
      </w:r>
    </w:p>
    <w:p w14:paraId="381F0AA5" w14:textId="77777777" w:rsidR="00DE6333" w:rsidRDefault="00DE6333" w:rsidP="00DE6333">
      <w:pPr>
        <w:ind w:left="360"/>
      </w:pPr>
      <w:r>
        <w:t>Oct. 28, 2016</w:t>
      </w:r>
      <w:r>
        <w:tab/>
        <w:t>ISP 180 Continuing Education Units (CEUs)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1DABD3F7" w14:textId="77777777" w:rsidR="00DE6333" w:rsidRDefault="00DE6333" w:rsidP="00DE6333">
      <w:pPr>
        <w:ind w:left="360"/>
      </w:pPr>
      <w:r>
        <w:t>Feb. 8, 2019</w:t>
      </w:r>
      <w:r>
        <w:tab/>
        <w:t>ISP 371 Advanced Placement</w:t>
      </w:r>
    </w:p>
    <w:p w14:paraId="63EF6E64" w14:textId="77777777" w:rsidR="00DE6333" w:rsidRDefault="00DE6333" w:rsidP="00DE6333">
      <w:pPr>
        <w:ind w:left="360"/>
      </w:pPr>
      <w:r>
        <w:t>Feb. 8, 2019</w:t>
      </w:r>
      <w:r>
        <w:tab/>
        <w:t>ISP 372 International Baccalaureate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B8FAB81" w14:textId="2CB9F5C1" w:rsidR="00DE6333" w:rsidRPr="00DE6333" w:rsidRDefault="00DE6333" w:rsidP="00DE6333">
      <w:pPr>
        <w:ind w:left="360"/>
      </w:pPr>
      <w:r>
        <w:t>Oct. 25, 2019</w:t>
      </w:r>
      <w:r>
        <w:tab/>
        <w:t>ISP 373 College Level Examination Program (CLEP)</w:t>
      </w:r>
    </w:p>
    <w:sectPr w:rsidR="00DE6333" w:rsidRPr="00DE6333" w:rsidSect="00ED63F3">
      <w:footerReference w:type="default" r:id="rId13"/>
      <w:pgSz w:w="15840" w:h="12240" w:orient="landscape" w:code="1"/>
      <w:pgMar w:top="907" w:right="720" w:bottom="900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EF1D9E" w:rsidRDefault="00EF1D9E" w:rsidP="00B3679E">
      <w:r>
        <w:separator/>
      </w:r>
    </w:p>
  </w:endnote>
  <w:endnote w:type="continuationSeparator" w:id="0">
    <w:p w14:paraId="0359A33B" w14:textId="77777777" w:rsidR="00EF1D9E" w:rsidRDefault="00EF1D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29694541" w:rsidR="00E2557C" w:rsidRPr="00E2557C" w:rsidRDefault="00452056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October </w:t>
        </w:r>
        <w:r w:rsidR="000919B1">
          <w:rPr>
            <w:rFonts w:cs="Arial"/>
            <w:sz w:val="20"/>
            <w:szCs w:val="20"/>
          </w:rPr>
          <w:t>28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EF1D9E" w:rsidRDefault="00EF1D9E" w:rsidP="00B3679E">
      <w:r>
        <w:separator/>
      </w:r>
    </w:p>
  </w:footnote>
  <w:footnote w:type="continuationSeparator" w:id="0">
    <w:p w14:paraId="2F77EF14" w14:textId="77777777" w:rsidR="00EF1D9E" w:rsidRDefault="00EF1D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5947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43F9"/>
    <w:rsid w:val="00550EE9"/>
    <w:rsid w:val="00551E6A"/>
    <w:rsid w:val="00552843"/>
    <w:rsid w:val="00552B10"/>
    <w:rsid w:val="00552C0A"/>
    <w:rsid w:val="005538CD"/>
    <w:rsid w:val="005554CD"/>
    <w:rsid w:val="00556B40"/>
    <w:rsid w:val="00561F1D"/>
    <w:rsid w:val="00564D62"/>
    <w:rsid w:val="00565012"/>
    <w:rsid w:val="00566AAD"/>
    <w:rsid w:val="00567B5E"/>
    <w:rsid w:val="00570AD1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1953"/>
    <w:rsid w:val="005E2999"/>
    <w:rsid w:val="005E2D69"/>
    <w:rsid w:val="005E3BDA"/>
    <w:rsid w:val="005E5CEC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3767F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0846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707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395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01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65E2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3F3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144F-1FFE-4E04-9B83-4F68F03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2022-10-13T16:27:00Z</cp:lastPrinted>
  <dcterms:created xsi:type="dcterms:W3CDTF">2022-10-13T14:52:00Z</dcterms:created>
  <dcterms:modified xsi:type="dcterms:W3CDTF">2023-04-24T20:37:00Z</dcterms:modified>
</cp:coreProperties>
</file>